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АСУСО  «Куйбышевский ДИ»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Численность получателей социальных услуг,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получающих социальные услуги </w:t>
      </w:r>
      <w:r>
        <w:rPr>
          <w:rFonts w:cs="Times New Roman" w:ascii="Times New Roman" w:hAnsi="Times New Roman"/>
          <w:sz w:val="28"/>
          <w:szCs w:val="28"/>
        </w:rPr>
        <w:t xml:space="preserve"> в стационарной форме социального обслуживания за  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1-й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квартал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W w:w="107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65"/>
        <w:gridCol w:w="1368"/>
        <w:gridCol w:w="1415"/>
        <w:gridCol w:w="1585"/>
        <w:gridCol w:w="1586"/>
        <w:gridCol w:w="1414"/>
        <w:gridCol w:w="1485"/>
      </w:tblGrid>
      <w:tr>
        <w:trPr/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nos" w:hAnsi="Tinos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Виды социальных услуг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Социально - бытовые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Социально - правовые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Социально - педагогические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Социально -психологические</w:t>
            </w:r>
          </w:p>
        </w:tc>
        <w:tc>
          <w:tcPr>
            <w:tcW w:w="141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Социально -медицинские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Услуги в целях повышения коммуникативного потенциала</w:t>
            </w:r>
          </w:p>
        </w:tc>
      </w:tr>
      <w:tr>
        <w:trPr/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Частичная плата по договору от физических и юридических лиц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376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311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155</w:t>
            </w:r>
          </w:p>
        </w:tc>
        <w:tc>
          <w:tcPr>
            <w:tcW w:w="141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373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175</w:t>
            </w:r>
          </w:p>
        </w:tc>
      </w:tr>
      <w:tr>
        <w:trPr/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Плата по договору от физических и юридических лиц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103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1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Итого: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479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15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311</w:t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155</w:t>
            </w:r>
          </w:p>
        </w:tc>
        <w:tc>
          <w:tcPr>
            <w:tcW w:w="141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373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175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Объем социальных услуг, предоставляемых в стационарной форме социального обслуживания за </w:t>
      </w:r>
      <w:r>
        <w:rPr>
          <w:rFonts w:cs="Times New Roman" w:ascii="Times New Roman" w:hAnsi="Times New Roman"/>
          <w:sz w:val="28"/>
          <w:szCs w:val="28"/>
        </w:rPr>
        <w:t>1-й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квартал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W w:w="10657" w:type="dxa"/>
        <w:jc w:val="left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80"/>
        <w:gridCol w:w="1050"/>
        <w:gridCol w:w="1140"/>
        <w:gridCol w:w="1097"/>
        <w:gridCol w:w="1186"/>
        <w:gridCol w:w="1256"/>
        <w:gridCol w:w="1518"/>
        <w:gridCol w:w="1430"/>
      </w:tblGrid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nos" w:hAnsi="Tinos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Виды социальных услуг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Социально - бытовые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Социально - правовые</w:t>
            </w:r>
          </w:p>
        </w:tc>
        <w:tc>
          <w:tcPr>
            <w:tcW w:w="1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Социально - педагогические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Социально -психологические</w:t>
            </w:r>
          </w:p>
        </w:tc>
        <w:tc>
          <w:tcPr>
            <w:tcW w:w="125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Социально -медицинские</w:t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Услуги в целях повышения коммуникативного потенциала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Всего: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Частичная плата по договору от физических и юридических лиц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367413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560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425</w:t>
            </w:r>
          </w:p>
        </w:tc>
        <w:tc>
          <w:tcPr>
            <w:tcW w:w="125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253842</w:t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6365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bookmarkStart w:id="0" w:name="_GoBack_Копия_1"/>
            <w:bookmarkEnd w:id="0"/>
            <w:r>
              <w:rPr>
                <w:rFonts w:eastAsia="Calibri" w:cs="" w:ascii="Tinos" w:hAnsi="Tinos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628635</w:t>
            </w:r>
          </w:p>
        </w:tc>
      </w:tr>
      <w:tr>
        <w:trPr>
          <w:trHeight w:val="379" w:hRule="atLeast"/>
        </w:trPr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Плата по договору от физических и юридических лиц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3153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5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3153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Итого: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370566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imes New Roman" w:ascii="Tinos" w:hAnsi="Tinos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560</w:t>
            </w:r>
          </w:p>
        </w:tc>
        <w:tc>
          <w:tcPr>
            <w:tcW w:w="11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425</w:t>
            </w:r>
          </w:p>
        </w:tc>
        <w:tc>
          <w:tcPr>
            <w:tcW w:w="125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nos" w:hAnsi="Tinos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253842</w:t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6365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bookmarkStart w:id="1" w:name="_GoBack"/>
            <w:bookmarkEnd w:id="1"/>
            <w:r>
              <w:rPr>
                <w:rFonts w:eastAsia="Calibri" w:cs="" w:ascii="Tinos" w:hAnsi="Tinos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631788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497" w:right="595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54b3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54b3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59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Application>LibreOffice/7.6.7.2$Linux_X86_64 LibreOffice_project/60$Build-2</Application>
  <AppVersion>15.0000</AppVersion>
  <Pages>1</Pages>
  <Words>154</Words>
  <Characters>904</Characters>
  <CharactersWithSpaces>998</CharactersWithSpaces>
  <Paragraphs>64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2024-11-01T06:21:00Z</dcterms:created>
  <dc:creator>Лариса</dc:creator>
  <dc:description/>
  <dc:language>ru-RU</dc:language>
  <cp:lastModifiedBy/>
  <cp:lastPrinted>2026-04-10T11:49:12Z</cp:lastPrinted>
  <dcterms:modified xsi:type="dcterms:W3CDTF">2026-04-10T13:55:51Z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